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D8D" w:rsidRPr="00335A6B" w:rsidRDefault="00680D8D" w:rsidP="00680D8D">
      <w:pPr>
        <w:jc w:val="both"/>
        <w:rPr>
          <w:rFonts w:cs="Times New Roman"/>
          <w:szCs w:val="20"/>
          <w:lang w:val="en-GB"/>
        </w:rPr>
      </w:pPr>
      <w:r w:rsidRPr="00FC3C4E">
        <w:rPr>
          <w:rFonts w:cs="Times New Roman"/>
          <w:b/>
          <w:szCs w:val="20"/>
          <w:lang w:val="en-GB"/>
        </w:rPr>
        <w:t>Table 2</w:t>
      </w:r>
      <w:r w:rsidR="003A46F7">
        <w:rPr>
          <w:rFonts w:cs="Times New Roman"/>
          <w:szCs w:val="20"/>
          <w:lang w:val="en-GB"/>
        </w:rPr>
        <w:t xml:space="preserve"> Description of PGRs</w:t>
      </w:r>
      <w:bookmarkStart w:id="0" w:name="_GoBack"/>
      <w:bookmarkEnd w:id="0"/>
      <w:r>
        <w:rPr>
          <w:rFonts w:cs="Times New Roman"/>
          <w:szCs w:val="20"/>
          <w:lang w:val="en-GB"/>
        </w:rPr>
        <w:fldChar w:fldCharType="begin" w:fldLock="1"/>
      </w:r>
      <w:r>
        <w:rPr>
          <w:rFonts w:cs="Times New Roman"/>
          <w:szCs w:val="20"/>
          <w:lang w:val="en-GB"/>
        </w:rPr>
        <w:instrText>ADDIN CSL_CITATION {"citationItems":[{"id":"ITEM-1","itemData":{"DOI":"10.1515/REVEH-2018-0088","author":[{"dropping-particle":"","family":"Nebeská","given":"Diana","non-dropping-particle":"","parse-names":false,"suffix":""},{"dropping-particle":"","family":"Pidlisnyuk","given":"Valentina","non-dropping-particle":"","parse-names":false,"suffix":""},{"dropping-particle":"","family":"Stefanovska","given":"Tatyana","non-dropping-particle":"","parse-names":false,"suffix":""},{"dropping-particle":"","family":"Trögl","given":"Josef","non-dropping-particle":"","parse-names":false,"suffix":""},{"dropping-particle":"","family":"Shapoval","given":"Pavlo","non-dropping-particle":"","parse-names":false,"suffix":""},{"dropping-particle":"","family":"Popelka","given":"Jan","non-dropping-particle":"","parse-names":false,"suffix":""},{"dropping-particle":"","family":"Černý","given":"Jan","non-dropping-particle":"","parse-names":false,"suffix":""},{"dropping-particle":"","family":"Medkow","given":"Artem","non-dropping-particle":"","parse-names":false,"suffix":""},{"dropping-particle":"","family":"Kvak","given":"Volodymyr","non-dropping-particle":"","parse-names":false,"suffix":""},{"dropping-particle":"","family":"Malinská","given":"Hana","non-dropping-particle":"","parse-names":false,"suffix":""}],"container-title":"Reviews on Environmental Health","id":"ITEM-1","issue":"0","issued":{"date-parts":[["0"]]},"publisher":"De Gruyter","title":"Impact of plant growth regulators and soil properties on Miscanthus x giganteus biomass parameters and uptake of metals in military soils","type":"article-journal","volume":"0"},"uris":["http://www.mendeley.com/documents/?uuid=a787f24d-845f-4079-8c5e-8fe5ca3fb8d2","http://www.mendeley.com/documents/?uuid=a69edf83-c063-399a-9944-01da89e31866"]}],"mendeley":{"formattedCitation":"(Nebeská et al.)","manualFormatting":"(Nebeská et al. 2019)","plainTextFormattedCitation":"(Nebeská et al.)","previouslyFormattedCitation":"(Nebeská et al.)"},"properties":{"noteIndex":0},"schema":"https://github.com/citation-style-language/schema/raw/master/csl-citation.json"}</w:instrText>
      </w:r>
      <w:r>
        <w:rPr>
          <w:rFonts w:cs="Times New Roman"/>
          <w:szCs w:val="20"/>
          <w:lang w:val="en-GB"/>
        </w:rPr>
        <w:fldChar w:fldCharType="separate"/>
      </w:r>
      <w:r>
        <w:rPr>
          <w:rFonts w:cs="Times New Roman"/>
          <w:szCs w:val="20"/>
          <w:lang w:val="en-GB"/>
        </w:rPr>
        <w:fldChar w:fldCharType="end"/>
      </w:r>
      <w:r>
        <w:rPr>
          <w:rFonts w:cs="Times New Roman"/>
          <w:szCs w:val="20"/>
          <w:lang w:val="en-GB"/>
        </w:rPr>
        <w:t>, components which are specific for one PGR are in bold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68"/>
        <w:gridCol w:w="3595"/>
        <w:gridCol w:w="3699"/>
      </w:tblGrid>
      <w:tr w:rsidR="00680D8D" w:rsidRPr="00335A6B" w:rsidTr="00ED3620">
        <w:trPr>
          <w:trHeight w:val="315"/>
        </w:trPr>
        <w:tc>
          <w:tcPr>
            <w:tcW w:w="1809" w:type="dxa"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PGR title</w:t>
            </w:r>
          </w:p>
        </w:tc>
        <w:tc>
          <w:tcPr>
            <w:tcW w:w="3686" w:type="dxa"/>
            <w:hideMark/>
          </w:tcPr>
          <w:p w:rsidR="00680D8D" w:rsidRPr="00C72A30" w:rsidRDefault="00680D8D" w:rsidP="00ED3620">
            <w:pPr>
              <w:jc w:val="both"/>
              <w:rPr>
                <w:rFonts w:cs="Times New Roman"/>
                <w:bCs/>
                <w:color w:val="000000" w:themeColor="text1"/>
                <w:szCs w:val="20"/>
                <w:lang w:val="en-GB"/>
              </w:rPr>
            </w:pPr>
            <w:proofErr w:type="spellStart"/>
            <w:r w:rsidRPr="00C72A30">
              <w:rPr>
                <w:rFonts w:cs="Times New Roman"/>
                <w:bCs/>
                <w:color w:val="000000" w:themeColor="text1"/>
                <w:szCs w:val="20"/>
                <w:lang w:val="en-GB"/>
              </w:rPr>
              <w:t>Stimpo</w:t>
            </w:r>
            <w:proofErr w:type="spellEnd"/>
          </w:p>
        </w:tc>
        <w:tc>
          <w:tcPr>
            <w:tcW w:w="3793" w:type="dxa"/>
            <w:hideMark/>
          </w:tcPr>
          <w:p w:rsidR="00680D8D" w:rsidRPr="00C72A30" w:rsidRDefault="00680D8D" w:rsidP="00ED3620">
            <w:pPr>
              <w:jc w:val="both"/>
              <w:rPr>
                <w:rFonts w:cs="Times New Roman"/>
                <w:bCs/>
                <w:color w:val="000000" w:themeColor="text1"/>
                <w:szCs w:val="20"/>
                <w:lang w:val="en-GB"/>
              </w:rPr>
            </w:pPr>
            <w:proofErr w:type="spellStart"/>
            <w:r w:rsidRPr="00C72A30">
              <w:rPr>
                <w:rFonts w:cs="Times New Roman"/>
                <w:bCs/>
                <w:color w:val="000000" w:themeColor="text1"/>
                <w:szCs w:val="20"/>
                <w:lang w:val="en-GB"/>
              </w:rPr>
              <w:t>Regoplant</w:t>
            </w:r>
            <w:proofErr w:type="spellEnd"/>
          </w:p>
        </w:tc>
      </w:tr>
      <w:tr w:rsidR="00680D8D" w:rsidRPr="00335A6B" w:rsidTr="00ED3620">
        <w:trPr>
          <w:trHeight w:val="315"/>
        </w:trPr>
        <w:tc>
          <w:tcPr>
            <w:tcW w:w="1809" w:type="dxa"/>
            <w:noWrap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Standard</w:t>
            </w:r>
          </w:p>
        </w:tc>
        <w:tc>
          <w:tcPr>
            <w:tcW w:w="3686" w:type="dxa"/>
            <w:noWrap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ТU U 20.2-31168762-005:2012</w:t>
            </w:r>
          </w:p>
        </w:tc>
        <w:tc>
          <w:tcPr>
            <w:tcW w:w="3793" w:type="dxa"/>
            <w:noWrap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ТU U 20.2-31168762-006:2012</w:t>
            </w:r>
          </w:p>
        </w:tc>
      </w:tr>
      <w:tr w:rsidR="00680D8D" w:rsidRPr="00335A6B" w:rsidTr="00ED3620">
        <w:trPr>
          <w:trHeight w:val="1275"/>
        </w:trPr>
        <w:tc>
          <w:tcPr>
            <w:tcW w:w="1809" w:type="dxa"/>
            <w:noWrap/>
            <w:hideMark/>
          </w:tcPr>
          <w:p w:rsidR="00680D8D" w:rsidRPr="00335A6B" w:rsidRDefault="00680D8D" w:rsidP="00ED3620">
            <w:pPr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Description</w:t>
            </w:r>
          </w:p>
        </w:tc>
        <w:tc>
          <w:tcPr>
            <w:tcW w:w="3686" w:type="dxa"/>
            <w:hideMark/>
          </w:tcPr>
          <w:p w:rsidR="00680D8D" w:rsidRPr="00335A6B" w:rsidRDefault="00680D8D" w:rsidP="00ED3620">
            <w:pPr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Balanced composition of biologically active compounds: analogues of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phytohormones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amino acids, fatty acids, oligosaccharides, microelements, and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bioprotective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compounds</w:t>
            </w:r>
          </w:p>
        </w:tc>
        <w:tc>
          <w:tcPr>
            <w:tcW w:w="3793" w:type="dxa"/>
            <w:hideMark/>
          </w:tcPr>
          <w:p w:rsidR="00680D8D" w:rsidRPr="00335A6B" w:rsidRDefault="00680D8D" w:rsidP="00ED3620">
            <w:pPr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Balanced composition of biologically active compounds: analogues of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phytohormones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amino acids, fatty acids, oligosaccharides, chitosan, microelements, and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bioprotective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compounds</w:t>
            </w:r>
          </w:p>
        </w:tc>
      </w:tr>
      <w:tr w:rsidR="00680D8D" w:rsidRPr="00335A6B" w:rsidTr="00ED3620">
        <w:trPr>
          <w:trHeight w:val="1575"/>
        </w:trPr>
        <w:tc>
          <w:tcPr>
            <w:tcW w:w="1809" w:type="dxa"/>
            <w:vMerge w:val="restart"/>
            <w:noWrap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Composition</w:t>
            </w:r>
          </w:p>
        </w:tc>
        <w:tc>
          <w:tcPr>
            <w:tcW w:w="3686" w:type="dxa"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Emistim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C: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Cylindrocarpon</w:t>
            </w:r>
            <w:proofErr w:type="spellEnd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obtusiusculum</w:t>
            </w:r>
            <w:proofErr w:type="spellEnd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 </w:t>
            </w: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- (auxin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phytohormones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cytokinin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nature, saturated and unsaturated fatty acids, amino acids), carbohydrates, ion biogenic microelements</w:t>
            </w:r>
          </w:p>
        </w:tc>
        <w:tc>
          <w:tcPr>
            <w:tcW w:w="3793" w:type="dxa"/>
            <w:hideMark/>
          </w:tcPr>
          <w:p w:rsidR="00680D8D" w:rsidRPr="00335A6B" w:rsidRDefault="00680D8D" w:rsidP="00ED3620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Emistim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C: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Cylindrocarpon</w:t>
            </w:r>
            <w:proofErr w:type="spellEnd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obtusiusculum</w:t>
            </w:r>
            <w:proofErr w:type="spellEnd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 </w:t>
            </w: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- (auxin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phytohormones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cytokinin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nature, saturated and unsaturated fatty acids, amino acids), carbohydrates, ion biogenic microelements</w:t>
            </w:r>
          </w:p>
        </w:tc>
      </w:tr>
      <w:tr w:rsidR="00680D8D" w:rsidRPr="00335A6B" w:rsidTr="00ED3620">
        <w:trPr>
          <w:trHeight w:val="1241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Microbial pesticide "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Аctofit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0,2%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к.е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.": Natural complex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Aversectin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C, a product of v</w:t>
            </w:r>
            <w:r>
              <w:rPr>
                <w:rFonts w:cs="Times New Roman"/>
                <w:color w:val="000000" w:themeColor="text1"/>
                <w:szCs w:val="20"/>
                <w:lang w:val="en-GB"/>
              </w:rPr>
              <w:t xml:space="preserve">ital activity of </w:t>
            </w:r>
            <w:proofErr w:type="spellStart"/>
            <w:r>
              <w:rPr>
                <w:rFonts w:cs="Times New Roman"/>
                <w:color w:val="000000" w:themeColor="text1"/>
                <w:szCs w:val="20"/>
                <w:lang w:val="en-GB"/>
              </w:rPr>
              <w:t>actinomycetes</w:t>
            </w:r>
            <w:proofErr w:type="spellEnd"/>
            <w:r>
              <w:rPr>
                <w:rFonts w:cs="Times New Roman"/>
                <w:color w:val="000000" w:themeColor="text1"/>
                <w:szCs w:val="20"/>
                <w:lang w:val="en-GB"/>
              </w:rPr>
              <w:t xml:space="preserve"> </w:t>
            </w:r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Streptomyces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avermytilis</w:t>
            </w:r>
            <w:proofErr w:type="spellEnd"/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Microbial pesticide "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Аctofit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0,2%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к.е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.": Natural complex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Aversectin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C, a product of vital ac</w:t>
            </w:r>
            <w:r>
              <w:rPr>
                <w:rFonts w:cs="Times New Roman"/>
                <w:color w:val="000000" w:themeColor="text1"/>
                <w:szCs w:val="20"/>
                <w:lang w:val="en-GB"/>
              </w:rPr>
              <w:t xml:space="preserve">tivity of </w:t>
            </w:r>
            <w:proofErr w:type="spellStart"/>
            <w:r>
              <w:rPr>
                <w:rFonts w:cs="Times New Roman"/>
                <w:color w:val="000000" w:themeColor="text1"/>
                <w:szCs w:val="20"/>
                <w:lang w:val="en-GB"/>
              </w:rPr>
              <w:t>actinomycetes</w:t>
            </w:r>
            <w:proofErr w:type="spellEnd"/>
            <w:r>
              <w:rPr>
                <w:rFonts w:cs="Times New Roman"/>
                <w:color w:val="000000" w:themeColor="text1"/>
                <w:szCs w:val="20"/>
                <w:lang w:val="en-GB"/>
              </w:rPr>
              <w:t xml:space="preserve"> </w:t>
            </w:r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 xml:space="preserve">Streptomyces </w:t>
            </w:r>
            <w:proofErr w:type="spellStart"/>
            <w:r w:rsidRPr="00335A6B">
              <w:rPr>
                <w:rFonts w:cs="Times New Roman"/>
                <w:i/>
                <w:iCs/>
                <w:color w:val="000000" w:themeColor="text1"/>
                <w:szCs w:val="20"/>
                <w:lang w:val="en-GB"/>
              </w:rPr>
              <w:t>avermytilis</w:t>
            </w:r>
            <w:proofErr w:type="spellEnd"/>
          </w:p>
        </w:tc>
      </w:tr>
      <w:tr w:rsidR="00680D8D" w:rsidRPr="00335A6B" w:rsidTr="00ED3620">
        <w:trPr>
          <w:trHeight w:val="1116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Microelements: Acid boron, Copper sulfuric acid (II) 5-water, ammonium, molybdenum acid, Manganese (II) chloride 4-water, Potassium iodide</w:t>
            </w:r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"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Reakom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": Composition of biogenic microelements (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microfertilizer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 universal on the basis of micronutrient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complexonates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)</w:t>
            </w:r>
          </w:p>
        </w:tc>
      </w:tr>
      <w:tr w:rsidR="00680D8D" w:rsidRPr="00335A6B" w:rsidTr="00ED3620">
        <w:trPr>
          <w:trHeight w:val="405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K, 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Na</w:t>
            </w: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Fe, Zn,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Cu, Mg, Ca, 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Co</w:t>
            </w:r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K, Fe, Zn, </w:t>
            </w:r>
            <w:proofErr w:type="spellStart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Mn</w:t>
            </w:r>
            <w:proofErr w:type="spellEnd"/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 xml:space="preserve">, Cu, Mg, Ca, 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S, Mo, B, N</w:t>
            </w:r>
          </w:p>
        </w:tc>
      </w:tr>
      <w:tr w:rsidR="00680D8D" w:rsidRPr="00335A6B" w:rsidTr="00ED3620">
        <w:trPr>
          <w:trHeight w:val="405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Ethanol</w:t>
            </w:r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Brilliant green</w:t>
            </w:r>
          </w:p>
        </w:tc>
      </w:tr>
      <w:tr w:rsidR="00680D8D" w:rsidRPr="00335A6B" w:rsidTr="00ED3620">
        <w:trPr>
          <w:trHeight w:val="420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Purified water</w:t>
            </w:r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Potassium salt of 1-naphthylacetic acid C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vertAlign w:val="subscript"/>
                <w:lang w:val="en-GB"/>
              </w:rPr>
              <w:t>12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H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vertAlign w:val="subscript"/>
                <w:lang w:val="en-GB"/>
              </w:rPr>
              <w:t>9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  <w:t>KO</w:t>
            </w:r>
            <w:r w:rsidRPr="00335A6B">
              <w:rPr>
                <w:rFonts w:cs="Times New Roman"/>
                <w:b/>
                <w:bCs/>
                <w:color w:val="000000" w:themeColor="text1"/>
                <w:szCs w:val="20"/>
                <w:vertAlign w:val="subscript"/>
                <w:lang w:val="en-GB"/>
              </w:rPr>
              <w:t>2</w:t>
            </w:r>
          </w:p>
        </w:tc>
      </w:tr>
      <w:tr w:rsidR="00680D8D" w:rsidRPr="00335A6B" w:rsidTr="00ED3620">
        <w:trPr>
          <w:trHeight w:val="315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 </w:t>
            </w:r>
          </w:p>
        </w:tc>
        <w:tc>
          <w:tcPr>
            <w:tcW w:w="3793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Ethanol</w:t>
            </w:r>
          </w:p>
        </w:tc>
      </w:tr>
      <w:tr w:rsidR="00680D8D" w:rsidRPr="00335A6B" w:rsidTr="00ED3620">
        <w:trPr>
          <w:trHeight w:val="435"/>
        </w:trPr>
        <w:tc>
          <w:tcPr>
            <w:tcW w:w="1809" w:type="dxa"/>
            <w:vMerge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b/>
                <w:bCs/>
                <w:color w:val="000000" w:themeColor="text1"/>
                <w:szCs w:val="20"/>
                <w:lang w:val="en-GB"/>
              </w:rPr>
            </w:pPr>
          </w:p>
        </w:tc>
        <w:tc>
          <w:tcPr>
            <w:tcW w:w="3686" w:type="dxa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 </w:t>
            </w:r>
          </w:p>
        </w:tc>
        <w:tc>
          <w:tcPr>
            <w:tcW w:w="3793" w:type="dxa"/>
            <w:shd w:val="clear" w:color="auto" w:fill="auto"/>
            <w:hideMark/>
          </w:tcPr>
          <w:p w:rsidR="00680D8D" w:rsidRPr="00335A6B" w:rsidRDefault="00680D8D" w:rsidP="00680D8D">
            <w:pPr>
              <w:jc w:val="both"/>
              <w:rPr>
                <w:rFonts w:cs="Times New Roman"/>
                <w:color w:val="000000" w:themeColor="text1"/>
                <w:szCs w:val="20"/>
                <w:lang w:val="en-GB"/>
              </w:rPr>
            </w:pPr>
            <w:r w:rsidRPr="00335A6B">
              <w:rPr>
                <w:rFonts w:cs="Times New Roman"/>
                <w:color w:val="000000" w:themeColor="text1"/>
                <w:szCs w:val="20"/>
                <w:lang w:val="en-GB"/>
              </w:rPr>
              <w:t>Purified water</w:t>
            </w:r>
          </w:p>
        </w:tc>
      </w:tr>
    </w:tbl>
    <w:p w:rsidR="00680D8D" w:rsidRPr="00335A6B" w:rsidRDefault="00680D8D" w:rsidP="00680D8D">
      <w:pPr>
        <w:jc w:val="both"/>
        <w:rPr>
          <w:rFonts w:cs="Times New Roman"/>
          <w:szCs w:val="20"/>
          <w:lang w:val="en-GB"/>
        </w:rPr>
      </w:pPr>
    </w:p>
    <w:p w:rsidR="006C359B" w:rsidRDefault="006C359B"/>
    <w:sectPr w:rsidR="006C35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7C4"/>
    <w:rsid w:val="003A46F7"/>
    <w:rsid w:val="00680D8D"/>
    <w:rsid w:val="006C359B"/>
    <w:rsid w:val="00C6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3D61EC-AB67-406A-A06B-DC09A151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0D8D"/>
    <w:pPr>
      <w:spacing w:after="0"/>
    </w:pPr>
    <w:rPr>
      <w:rFonts w:ascii="Times New Roman" w:hAnsi="Times New Roman"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80D8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545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uzivatel</cp:lastModifiedBy>
  <cp:revision>3</cp:revision>
  <dcterms:created xsi:type="dcterms:W3CDTF">2019-08-12T07:07:00Z</dcterms:created>
  <dcterms:modified xsi:type="dcterms:W3CDTF">2019-09-24T09:31:00Z</dcterms:modified>
</cp:coreProperties>
</file>